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9C4A9" w14:textId="1DE6F7B4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1FC0AC8E" w14:textId="77777777" w:rsidR="009E7BEA" w:rsidRDefault="009E7BEA" w:rsidP="009E7BEA">
      <w:pPr>
        <w:pStyle w:val="Normalny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pacing w:val="3"/>
          <w:sz w:val="27"/>
          <w:szCs w:val="27"/>
        </w:rPr>
      </w:pPr>
      <w:r>
        <w:rPr>
          <w:rFonts w:ascii="Arial" w:hAnsi="Arial" w:cs="Arial"/>
          <w:b/>
          <w:bCs/>
          <w:color w:val="000000"/>
          <w:spacing w:val="3"/>
          <w:sz w:val="27"/>
          <w:szCs w:val="27"/>
          <w:bdr w:val="none" w:sz="0" w:space="0" w:color="auto" w:frame="1"/>
        </w:rPr>
        <w:t>NOTA INFORMACYJNA </w:t>
      </w:r>
    </w:p>
    <w:p w14:paraId="3DA8982E" w14:textId="77777777" w:rsidR="009E7BEA" w:rsidRDefault="009E7BEA" w:rsidP="009E7BEA">
      <w:pPr>
        <w:pStyle w:val="Normalny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pacing w:val="3"/>
          <w:sz w:val="27"/>
          <w:szCs w:val="27"/>
        </w:rPr>
      </w:pPr>
      <w:r>
        <w:rPr>
          <w:rFonts w:ascii="Arial" w:hAnsi="Arial" w:cs="Arial"/>
          <w:b/>
          <w:bCs/>
          <w:color w:val="000000"/>
          <w:spacing w:val="3"/>
          <w:sz w:val="27"/>
          <w:szCs w:val="27"/>
          <w:bdr w:val="none" w:sz="0" w:space="0" w:color="auto" w:frame="1"/>
        </w:rPr>
        <w:t>dotycząca obowiązków informacyjnych spółki publicznej</w:t>
      </w:r>
    </w:p>
    <w:p w14:paraId="07E2F953" w14:textId="77777777" w:rsidR="009E7BEA" w:rsidRDefault="009E7BEA" w:rsidP="009E7BEA">
      <w:pPr>
        <w:pStyle w:val="NormalnyWeb"/>
        <w:spacing w:before="360" w:beforeAutospacing="0" w:after="0" w:afterAutospacing="0"/>
        <w:textAlignment w:val="baseline"/>
        <w:rPr>
          <w:rFonts w:ascii="Arial" w:hAnsi="Arial" w:cs="Arial"/>
          <w:color w:val="000000"/>
          <w:spacing w:val="3"/>
          <w:sz w:val="27"/>
          <w:szCs w:val="27"/>
        </w:rPr>
      </w:pPr>
      <w:r>
        <w:rPr>
          <w:rFonts w:ascii="Arial" w:hAnsi="Arial" w:cs="Arial"/>
          <w:color w:val="000000"/>
          <w:spacing w:val="3"/>
          <w:sz w:val="27"/>
          <w:szCs w:val="27"/>
        </w:rPr>
        <w:t> </w:t>
      </w:r>
    </w:p>
    <w:p w14:paraId="2983AC1C" w14:textId="6BC83AEA" w:rsidR="009E7BEA" w:rsidRPr="009E7BEA" w:rsidRDefault="009E7BEA" w:rsidP="009E7BEA">
      <w:pPr>
        <w:pStyle w:val="NormalnyWeb"/>
        <w:spacing w:before="36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</w:rPr>
        <w:t>Na ORLEN S.A., będącym podmiotem dominującym względem</w:t>
      </w:r>
      <w:r w:rsidR="004F5FDC">
        <w:rPr>
          <w:rFonts w:ascii="Arial" w:hAnsi="Arial" w:cs="Arial"/>
          <w:color w:val="000000"/>
          <w:spacing w:val="3"/>
          <w:sz w:val="22"/>
          <w:szCs w:val="22"/>
        </w:rPr>
        <w:t xml:space="preserve"> Anwil S.A.</w:t>
      </w:r>
      <w:r w:rsidRPr="009E7BEA">
        <w:rPr>
          <w:rFonts w:ascii="Arial" w:hAnsi="Arial" w:cs="Arial"/>
          <w:color w:val="000000"/>
          <w:spacing w:val="3"/>
          <w:sz w:val="22"/>
          <w:szCs w:val="22"/>
        </w:rPr>
        <w:t xml:space="preserve"> ciążą obowiązki informacyjne wobec rynku kapitałowego, które uregulowane są w Rozporządzeniu Parlamentu Europejskiego i Rady (UE) NR 596/2014 z dnia 16 kwietnia 2014 r. w sprawie nadużyć na rynku (rozporządzenie w sprawie nadużyć na rynku) oraz uchylającym dyrektywę 2003/6/WE Parlamentu Europejskiego i Rady i dyrektywy Komisji 2003/124/WE, 2003/125/WE i 2004/72/WE z </w:t>
      </w:r>
      <w:proofErr w:type="spellStart"/>
      <w:r w:rsidRPr="009E7BEA">
        <w:rPr>
          <w:rFonts w:ascii="Arial" w:hAnsi="Arial" w:cs="Arial"/>
          <w:color w:val="000000"/>
          <w:spacing w:val="3"/>
          <w:sz w:val="22"/>
          <w:szCs w:val="22"/>
        </w:rPr>
        <w:t>późn</w:t>
      </w:r>
      <w:proofErr w:type="spellEnd"/>
      <w:r w:rsidRPr="009E7BEA">
        <w:rPr>
          <w:rFonts w:ascii="Arial" w:hAnsi="Arial" w:cs="Arial"/>
          <w:color w:val="000000"/>
          <w:spacing w:val="3"/>
          <w:sz w:val="22"/>
          <w:szCs w:val="22"/>
        </w:rPr>
        <w:t>. zm. (dalej „Rozporządzenie MAR”).</w:t>
      </w:r>
    </w:p>
    <w:p w14:paraId="10177BCC" w14:textId="77777777" w:rsidR="009E7BEA" w:rsidRDefault="009E7BEA" w:rsidP="009E7BEA">
      <w:pPr>
        <w:pStyle w:val="Normalny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</w:pPr>
    </w:p>
    <w:p w14:paraId="3B6E8889" w14:textId="7CD8468D" w:rsidR="009E7BEA" w:rsidRPr="009E7BEA" w:rsidRDefault="009E7BEA" w:rsidP="009E7BEA">
      <w:pPr>
        <w:pStyle w:val="Normalny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W związku z tym, stosując przepisy powyższego rozporządzenia:</w:t>
      </w:r>
    </w:p>
    <w:p w14:paraId="247D22FA" w14:textId="77777777" w:rsidR="009E7BEA" w:rsidRDefault="009E7BEA" w:rsidP="009E7BEA">
      <w:pPr>
        <w:pStyle w:val="Normalny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</w:pPr>
    </w:p>
    <w:p w14:paraId="1A78CBDC" w14:textId="543CBBBF" w:rsidR="009E7BEA" w:rsidRPr="009E7BEA" w:rsidRDefault="009E7BEA" w:rsidP="0071705F">
      <w:pPr>
        <w:pStyle w:val="NormalnyWeb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 xml:space="preserve">1. </w:t>
      </w:r>
      <w:r w:rsidR="004F5FDC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 xml:space="preserve">Anwil S.A. </w:t>
      </w:r>
      <w:r w:rsidRPr="009E7BEA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27317377" w14:textId="77777777" w:rsidR="009E7BEA" w:rsidRPr="009E7BEA" w:rsidRDefault="009E7BEA" w:rsidP="0071705F">
      <w:pPr>
        <w:pStyle w:val="NormalnyWeb"/>
        <w:spacing w:before="36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9E7BEA">
        <w:rPr>
          <w:rFonts w:ascii="Arial" w:hAnsi="Arial" w:cs="Arial"/>
          <w:color w:val="000000"/>
          <w:spacing w:val="3"/>
          <w:sz w:val="22"/>
          <w:szCs w:val="22"/>
        </w:rPr>
        <w:t>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3433B96B" w14:textId="371AB875" w:rsidR="009E7BEA" w:rsidRDefault="009E7BEA" w:rsidP="00885E28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</w:rPr>
        <w:t xml:space="preserve">Na ORLEN S.A., będącym podmiotem dominującym względem </w:t>
      </w:r>
      <w:r w:rsidR="00433747">
        <w:rPr>
          <w:rFonts w:ascii="Arial" w:hAnsi="Arial" w:cs="Arial"/>
          <w:color w:val="000000"/>
          <w:spacing w:val="3"/>
          <w:sz w:val="22"/>
          <w:szCs w:val="22"/>
        </w:rPr>
        <w:t>Anwil S.A.</w:t>
      </w:r>
      <w:r w:rsidRPr="00885E28">
        <w:rPr>
          <w:rFonts w:ascii="Arial" w:hAnsi="Arial" w:cs="Arial"/>
          <w:color w:val="000000"/>
          <w:spacing w:val="3"/>
          <w:sz w:val="22"/>
          <w:szCs w:val="22"/>
        </w:rPr>
        <w:t xml:space="preserve"> oraz na ………………. (nazwa podmiotu będącego drugą stroną umowy) 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Pr="00885E28">
        <w:rPr>
          <w:rFonts w:ascii="Arial" w:hAnsi="Arial" w:cs="Arial"/>
          <w:color w:val="000000"/>
          <w:spacing w:val="3"/>
          <w:sz w:val="22"/>
          <w:szCs w:val="22"/>
        </w:rPr>
        <w:t>późn</w:t>
      </w:r>
      <w:proofErr w:type="spellEnd"/>
      <w:r w:rsidRPr="00885E28">
        <w:rPr>
          <w:rFonts w:ascii="Arial" w:hAnsi="Arial" w:cs="Arial"/>
          <w:color w:val="000000"/>
          <w:spacing w:val="3"/>
          <w:sz w:val="22"/>
          <w:szCs w:val="22"/>
        </w:rPr>
        <w:t>. zm. (dalej „Rozporządzenie MAR”).</w:t>
      </w:r>
    </w:p>
    <w:p w14:paraId="73CE1C19" w14:textId="77777777" w:rsidR="00885E28" w:rsidRDefault="00885E28" w:rsidP="00885E28">
      <w:pPr>
        <w:pStyle w:val="NormalnyWeb"/>
        <w:spacing w:before="0" w:beforeAutospacing="0" w:after="80" w:afterAutospacing="0"/>
        <w:ind w:left="72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3F5D13BD" w14:textId="77777777" w:rsidR="009E7BEA" w:rsidRPr="00885E28" w:rsidRDefault="009E7BEA" w:rsidP="00885E28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W związku z tym, stosując przepisy powyższego rozporządzenia:</w:t>
      </w:r>
    </w:p>
    <w:p w14:paraId="70CB19A4" w14:textId="77777777" w:rsidR="009E7BEA" w:rsidRPr="00885E28" w:rsidRDefault="009E7BEA" w:rsidP="00885E28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</w:rPr>
        <w:t>1. Każda ze stron poinformuje drugą o zamiarze przekazania do publicznej wiadomości informacji dotyczącej niniejszej umowy, jeśli uzna ją za informację poufną w rozumieniu Rozporządzenia MAR.</w:t>
      </w:r>
    </w:p>
    <w:p w14:paraId="3AA39C91" w14:textId="77777777" w:rsidR="009E7BEA" w:rsidRPr="00885E28" w:rsidRDefault="009E7BEA" w:rsidP="00885E28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1BA4769" w14:textId="77777777" w:rsidR="009E7BEA" w:rsidRPr="00885E28" w:rsidRDefault="009E7BEA" w:rsidP="00885E28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885E28">
        <w:rPr>
          <w:rFonts w:ascii="Arial" w:hAnsi="Arial" w:cs="Arial"/>
          <w:color w:val="000000"/>
          <w:spacing w:val="3"/>
          <w:sz w:val="22"/>
          <w:szCs w:val="22"/>
          <w:bdr w:val="none" w:sz="0" w:space="0" w:color="auto" w:frame="1"/>
        </w:rPr>
        <w:t>3. 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</w:t>
      </w:r>
    </w:p>
    <w:p w14:paraId="589C5823" w14:textId="45BB6277" w:rsidR="006977CC" w:rsidRPr="00885E28" w:rsidRDefault="006977CC" w:rsidP="00885E28">
      <w:pPr>
        <w:pStyle w:val="Akapitzlist"/>
        <w:spacing w:after="80"/>
        <w:ind w:left="284" w:firstLine="0"/>
        <w:rPr>
          <w:rFonts w:ascii="Arial" w:eastAsia="Times New Roman" w:hAnsi="Arial" w:cs="Arial"/>
          <w:lang w:eastAsia="pl-PL"/>
        </w:rPr>
      </w:pPr>
      <w:r w:rsidRPr="00885E28">
        <w:rPr>
          <w:rFonts w:ascii="Arial" w:eastAsia="Times New Roman" w:hAnsi="Arial" w:cs="Arial"/>
          <w:lang w:eastAsia="pl-PL"/>
        </w:rPr>
        <w:t xml:space="preserve">  </w:t>
      </w:r>
    </w:p>
    <w:p w14:paraId="00EE17C0" w14:textId="77777777" w:rsidR="009F192C" w:rsidRPr="00885E28" w:rsidRDefault="009F192C" w:rsidP="00885E28">
      <w:pPr>
        <w:spacing w:after="80"/>
        <w:rPr>
          <w:rFonts w:ascii="Arial" w:hAnsi="Arial" w:cs="Arial"/>
          <w:b/>
        </w:rPr>
      </w:pPr>
      <w:r w:rsidRPr="00885E28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</w:t>
      </w:r>
      <w:proofErr w:type="spellStart"/>
      <w:r w:rsidRPr="00042693">
        <w:rPr>
          <w:rFonts w:ascii="Arial" w:hAnsi="Arial" w:cs="Arial"/>
          <w:b/>
          <w:color w:val="FF0000"/>
        </w:rPr>
        <w:t>SzWZ</w:t>
      </w:r>
      <w:proofErr w:type="spellEnd"/>
      <w:r w:rsidRPr="00042693">
        <w:rPr>
          <w:rFonts w:ascii="Arial" w:hAnsi="Arial" w:cs="Arial"/>
          <w:b/>
          <w:color w:val="FF0000"/>
        </w:rPr>
        <w:t>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12A19BDC" w14:textId="77777777" w:rsid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3EB1A90F" w14:textId="09EAF862" w:rsidR="00391E3D" w:rsidRP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 xml:space="preserve">Na ORLEN S.A, będącym podmiotem dominującym względem </w:t>
      </w:r>
      <w:r w:rsidR="007E6C47">
        <w:rPr>
          <w:rFonts w:ascii="Arial" w:hAnsi="Arial" w:cs="Arial"/>
          <w:color w:val="000000"/>
          <w:spacing w:val="3"/>
          <w:sz w:val="22"/>
          <w:szCs w:val="22"/>
        </w:rPr>
        <w:t>Anwil S.A.</w:t>
      </w:r>
      <w:r w:rsidRPr="00391E3D">
        <w:rPr>
          <w:rFonts w:ascii="Arial" w:hAnsi="Arial" w:cs="Arial"/>
          <w:color w:val="000000"/>
          <w:spacing w:val="3"/>
          <w:sz w:val="22"/>
          <w:szCs w:val="22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391E3D">
        <w:rPr>
          <w:rFonts w:ascii="Arial" w:hAnsi="Arial" w:cs="Arial"/>
          <w:color w:val="000000"/>
          <w:spacing w:val="3"/>
          <w:sz w:val="22"/>
          <w:szCs w:val="22"/>
        </w:rPr>
        <w:t>późn</w:t>
      </w:r>
      <w:proofErr w:type="spellEnd"/>
      <w:r w:rsidRPr="00391E3D">
        <w:rPr>
          <w:rFonts w:ascii="Arial" w:hAnsi="Arial" w:cs="Arial"/>
          <w:color w:val="000000"/>
          <w:spacing w:val="3"/>
          <w:sz w:val="22"/>
          <w:szCs w:val="22"/>
        </w:rPr>
        <w:t>. zm. (dalej „Rozporządzenie MAR”).</w:t>
      </w:r>
    </w:p>
    <w:p w14:paraId="40AF6E8E" w14:textId="77777777" w:rsidR="00391E3D" w:rsidRP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</w:t>
      </w:r>
    </w:p>
    <w:p w14:paraId="253109B7" w14:textId="77777777" w:rsidR="00391E3D" w:rsidRPr="00391E3D" w:rsidRDefault="00391E3D" w:rsidP="00391E3D">
      <w:pPr>
        <w:pStyle w:val="NormalnyWeb"/>
        <w:spacing w:before="0" w:beforeAutospacing="0" w:after="80" w:afterAutospacing="0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W związku z tym, stosując przepisy powyższego rozporządzenia:</w:t>
      </w:r>
    </w:p>
    <w:p w14:paraId="0EA8B878" w14:textId="7DF0A180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 xml:space="preserve"> 1. </w:t>
      </w:r>
      <w:r w:rsidR="007E6C47">
        <w:rPr>
          <w:rFonts w:ascii="Arial" w:hAnsi="Arial" w:cs="Arial"/>
          <w:color w:val="000000"/>
          <w:spacing w:val="3"/>
          <w:sz w:val="22"/>
          <w:szCs w:val="22"/>
        </w:rPr>
        <w:t>Anwil S.A.</w:t>
      </w:r>
      <w:r w:rsidRPr="00391E3D">
        <w:rPr>
          <w:rFonts w:ascii="Arial" w:hAnsi="Arial" w:cs="Arial"/>
          <w:color w:val="000000"/>
          <w:spacing w:val="3"/>
          <w:sz w:val="22"/>
          <w:szCs w:val="22"/>
        </w:rPr>
        <w:t xml:space="preserve"> poinformuje drugą stronę umowy, iż w wyniku wykonywania zadań dla </w:t>
      </w:r>
      <w:r w:rsidR="007E6C47">
        <w:rPr>
          <w:rFonts w:ascii="Arial" w:hAnsi="Arial" w:cs="Arial"/>
          <w:color w:val="000000"/>
          <w:spacing w:val="3"/>
          <w:sz w:val="22"/>
          <w:szCs w:val="22"/>
        </w:rPr>
        <w:t>Anwil S.A.</w:t>
      </w:r>
      <w:r w:rsidR="007E6C47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bookmarkStart w:id="0" w:name="_GoBack"/>
      <w:bookmarkEnd w:id="0"/>
      <w:r w:rsidRPr="00391E3D">
        <w:rPr>
          <w:rFonts w:ascii="Arial" w:hAnsi="Arial" w:cs="Arial"/>
          <w:color w:val="000000"/>
          <w:spacing w:val="3"/>
          <w:sz w:val="22"/>
          <w:szCs w:val="22"/>
        </w:rPr>
        <w:t>weszła ona w posiadanie informacji poufnej w rozumieniu rozporządzenia MAR, którą to informację ORLEN S.A. przekaże niezwłocznie lub z opóźnieniem do publicznej wiadomości.</w:t>
      </w:r>
    </w:p>
    <w:p w14:paraId="5CFB5529" w14:textId="06A68982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C7285A0" w14:textId="3DF5F8B9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3. Jeśli wystąpią okoliczności o których mowa w pkt. 1, to zgodnie art. 18 Rozporządzenia MAR:</w:t>
      </w:r>
    </w:p>
    <w:p w14:paraId="2B2B32F9" w14:textId="00BD1443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a. 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0505BD6C" w14:textId="70BEF899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b. 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 </w:t>
      </w:r>
    </w:p>
    <w:p w14:paraId="71AF3A98" w14:textId="6953F081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c. Druga strona umowy będzie zobowiązana do niezwłocznej aktualizacji listy, ściśle według art. 18 ust.4 Rozporządzenia MAR.</w:t>
      </w:r>
    </w:p>
    <w:p w14:paraId="2A94726F" w14:textId="543E7208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d. Druga strona umowy będzie zobowiązana do przechowywania swojej listy osób mających dostęp do informacji poufnych przez okres co najmniej pięciu lat od jej sporządzenia lub aktualizacji.</w:t>
      </w:r>
    </w:p>
    <w:p w14:paraId="68C657FD" w14:textId="7AA98FB1" w:rsidR="00391E3D" w:rsidRPr="00391E3D" w:rsidRDefault="00391E3D" w:rsidP="00391E3D">
      <w:pPr>
        <w:pStyle w:val="NormalnyWeb"/>
        <w:spacing w:before="0" w:beforeAutospacing="0" w:after="80" w:afterAutospacing="0"/>
        <w:ind w:left="567" w:hanging="283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e. Druga strona umowy przedstawi listę osób mających dostęp do informacji poufnych Komisji Nadzoru Finansowego jeśli organ ten wystąpi do niej z takim żądaniem. </w:t>
      </w:r>
    </w:p>
    <w:p w14:paraId="2552E5F1" w14:textId="29B37442" w:rsidR="00391E3D" w:rsidRPr="00391E3D" w:rsidRDefault="00391E3D" w:rsidP="00391E3D">
      <w:pPr>
        <w:pStyle w:val="NormalnyWeb"/>
        <w:spacing w:before="0" w:beforeAutospacing="0" w:after="8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3"/>
          <w:sz w:val="22"/>
          <w:szCs w:val="22"/>
        </w:rPr>
      </w:pPr>
      <w:r w:rsidRPr="00391E3D">
        <w:rPr>
          <w:rFonts w:ascii="Arial" w:hAnsi="Arial" w:cs="Arial"/>
          <w:color w:val="000000"/>
          <w:spacing w:val="3"/>
          <w:sz w:val="22"/>
          <w:szCs w:val="22"/>
        </w:rPr>
        <w:t> 4. 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</w:t>
      </w:r>
    </w:p>
    <w:p w14:paraId="27912FC6" w14:textId="77777777" w:rsidR="00815CAA" w:rsidRPr="00391E3D" w:rsidRDefault="00815CAA" w:rsidP="00391E3D">
      <w:pPr>
        <w:spacing w:after="80"/>
        <w:ind w:firstLine="0"/>
        <w:rPr>
          <w:rFonts w:ascii="Arial" w:hAnsi="Arial" w:cs="Arial"/>
          <w:b/>
        </w:rPr>
      </w:pPr>
    </w:p>
    <w:sectPr w:rsidR="00815CAA" w:rsidRPr="00391E3D" w:rsidSect="00326516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5EA84" w14:textId="77777777" w:rsidR="00D31DF9" w:rsidRDefault="00D31DF9" w:rsidP="00A56C6C">
      <w:r>
        <w:separator/>
      </w:r>
    </w:p>
  </w:endnote>
  <w:endnote w:type="continuationSeparator" w:id="0">
    <w:p w14:paraId="705D2080" w14:textId="77777777" w:rsidR="00D31DF9" w:rsidRDefault="00D31DF9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5817F8C1" w14:textId="4CADD118" w:rsidR="00302810" w:rsidRPr="00DB1197" w:rsidRDefault="00302810" w:rsidP="0030281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02810">
          <w:rPr>
            <w:rFonts w:ascii="Arial" w:hAnsi="Arial" w:cs="Arial"/>
            <w:sz w:val="16"/>
            <w:szCs w:val="16"/>
          </w:rPr>
          <w:t xml:space="preserve"> </w:t>
        </w:r>
        <w:sdt>
          <w:sdtPr>
            <w:rPr>
              <w:rFonts w:ascii="Arial" w:hAnsi="Arial" w:cs="Arial"/>
              <w:sz w:val="16"/>
              <w:szCs w:val="16"/>
            </w:rPr>
            <w:id w:val="-84987555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7E6C47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NUMPAGES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7E6C47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3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  <w:p w14:paraId="2A532141" w14:textId="546A83E4" w:rsidR="00A56C6C" w:rsidRDefault="00D31DF9">
        <w:pPr>
          <w:pStyle w:val="Stopka"/>
          <w:jc w:val="center"/>
        </w:pPr>
      </w:p>
    </w:sdtContent>
  </w:sdt>
  <w:p w14:paraId="07B4BA19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AA644" w14:textId="77777777" w:rsidR="00D31DF9" w:rsidRDefault="00D31DF9" w:rsidP="00A56C6C">
      <w:r>
        <w:separator/>
      </w:r>
    </w:p>
  </w:footnote>
  <w:footnote w:type="continuationSeparator" w:id="0">
    <w:p w14:paraId="69CA323A" w14:textId="77777777" w:rsidR="00D31DF9" w:rsidRDefault="00D31DF9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27B6E" w14:textId="078DDE93" w:rsidR="001F5A89" w:rsidRPr="003378CD" w:rsidRDefault="001F5A89" w:rsidP="001F5A89">
    <w:pPr>
      <w:spacing w:after="80"/>
      <w:rPr>
        <w:rFonts w:ascii="Arial" w:eastAsia="Calibri" w:hAnsi="Arial"/>
        <w:sz w:val="20"/>
        <w:szCs w:val="20"/>
      </w:rPr>
    </w:pPr>
    <w:r w:rsidRPr="003378CD">
      <w:rPr>
        <w:rFonts w:ascii="Arial" w:eastAsia="Calibri" w:hAnsi="Arial"/>
        <w:sz w:val="20"/>
        <w:szCs w:val="20"/>
      </w:rPr>
      <w:t xml:space="preserve">Zarządzenie nr </w:t>
    </w:r>
    <w:r w:rsidR="006A2C2E">
      <w:rPr>
        <w:rFonts w:ascii="Arial" w:eastAsia="Calibri" w:hAnsi="Arial"/>
        <w:sz w:val="20"/>
        <w:szCs w:val="20"/>
      </w:rPr>
      <w:t>13</w:t>
    </w:r>
    <w:r w:rsidRPr="003378CD">
      <w:rPr>
        <w:rFonts w:ascii="Arial" w:eastAsia="Calibri" w:hAnsi="Arial"/>
        <w:sz w:val="20"/>
        <w:szCs w:val="20"/>
      </w:rPr>
      <w:t>/202</w:t>
    </w:r>
    <w:r w:rsidR="007C1FFB">
      <w:rPr>
        <w:rFonts w:ascii="Arial" w:eastAsia="Calibri" w:hAnsi="Arial"/>
        <w:sz w:val="20"/>
        <w:szCs w:val="20"/>
      </w:rPr>
      <w:t>5</w:t>
    </w:r>
    <w:r w:rsidRPr="003378CD">
      <w:rPr>
        <w:rFonts w:ascii="Arial" w:eastAsia="Calibri" w:hAnsi="Arial"/>
        <w:sz w:val="20"/>
        <w:szCs w:val="20"/>
      </w:rPr>
      <w:t xml:space="preserve">                                                                                    Załącznik nr 2</w:t>
    </w:r>
    <w:r w:rsidR="006E3052">
      <w:rPr>
        <w:rFonts w:ascii="Arial" w:eastAsia="Calibri" w:hAnsi="Arial"/>
        <w:sz w:val="20"/>
        <w:szCs w:val="20"/>
      </w:rPr>
      <w:t>_ver PL</w:t>
    </w:r>
  </w:p>
  <w:p w14:paraId="1597BB0D" w14:textId="1AC50042" w:rsidR="00A56C6C" w:rsidRPr="00302810" w:rsidRDefault="00A56C6C" w:rsidP="003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822081"/>
    <w:multiLevelType w:val="multilevel"/>
    <w:tmpl w:val="79EE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1CCE"/>
    <w:rsid w:val="000E3F90"/>
    <w:rsid w:val="00145C5D"/>
    <w:rsid w:val="001E6FC9"/>
    <w:rsid w:val="001F5A89"/>
    <w:rsid w:val="001F65EE"/>
    <w:rsid w:val="00202386"/>
    <w:rsid w:val="002D4DBB"/>
    <w:rsid w:val="00302810"/>
    <w:rsid w:val="00326516"/>
    <w:rsid w:val="003378CD"/>
    <w:rsid w:val="0037699C"/>
    <w:rsid w:val="003811DE"/>
    <w:rsid w:val="00391E3D"/>
    <w:rsid w:val="003D1F22"/>
    <w:rsid w:val="00433747"/>
    <w:rsid w:val="00450028"/>
    <w:rsid w:val="004841B7"/>
    <w:rsid w:val="004848AD"/>
    <w:rsid w:val="004A267E"/>
    <w:rsid w:val="004F5FDC"/>
    <w:rsid w:val="00522709"/>
    <w:rsid w:val="005466D6"/>
    <w:rsid w:val="0056188B"/>
    <w:rsid w:val="005D11A1"/>
    <w:rsid w:val="00637743"/>
    <w:rsid w:val="00637F81"/>
    <w:rsid w:val="006977CC"/>
    <w:rsid w:val="006A11CA"/>
    <w:rsid w:val="006A2C2E"/>
    <w:rsid w:val="006A3DA1"/>
    <w:rsid w:val="006B098C"/>
    <w:rsid w:val="006E3052"/>
    <w:rsid w:val="006F00D5"/>
    <w:rsid w:val="0071705F"/>
    <w:rsid w:val="00783DBA"/>
    <w:rsid w:val="007C1FFB"/>
    <w:rsid w:val="007D3049"/>
    <w:rsid w:val="007E6C47"/>
    <w:rsid w:val="00804828"/>
    <w:rsid w:val="00815CAA"/>
    <w:rsid w:val="008310E8"/>
    <w:rsid w:val="0086777C"/>
    <w:rsid w:val="00885E28"/>
    <w:rsid w:val="008B5B9B"/>
    <w:rsid w:val="008E2F16"/>
    <w:rsid w:val="009135E1"/>
    <w:rsid w:val="00973998"/>
    <w:rsid w:val="009B6112"/>
    <w:rsid w:val="009D4422"/>
    <w:rsid w:val="009D473B"/>
    <w:rsid w:val="009E7BEA"/>
    <w:rsid w:val="009F192C"/>
    <w:rsid w:val="00A13775"/>
    <w:rsid w:val="00A56C6C"/>
    <w:rsid w:val="00B05191"/>
    <w:rsid w:val="00B2204D"/>
    <w:rsid w:val="00B41B9F"/>
    <w:rsid w:val="00B45A41"/>
    <w:rsid w:val="00BC10DF"/>
    <w:rsid w:val="00BC7641"/>
    <w:rsid w:val="00C33841"/>
    <w:rsid w:val="00C87137"/>
    <w:rsid w:val="00C97BAF"/>
    <w:rsid w:val="00D05224"/>
    <w:rsid w:val="00D31DF9"/>
    <w:rsid w:val="00D5561A"/>
    <w:rsid w:val="00D92061"/>
    <w:rsid w:val="00DA443F"/>
    <w:rsid w:val="00DB563F"/>
    <w:rsid w:val="00E02937"/>
    <w:rsid w:val="00E049DB"/>
    <w:rsid w:val="00E46A13"/>
    <w:rsid w:val="00E5496A"/>
    <w:rsid w:val="00EA368E"/>
    <w:rsid w:val="00ED5873"/>
    <w:rsid w:val="00F31A80"/>
    <w:rsid w:val="00F40E3B"/>
    <w:rsid w:val="00F51301"/>
    <w:rsid w:val="00F56112"/>
    <w:rsid w:val="00FA4D0E"/>
    <w:rsid w:val="00FC5228"/>
    <w:rsid w:val="00FF3CD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  <w:style w:type="paragraph" w:styleId="NormalnyWeb">
    <w:name w:val="Normal (Web)"/>
    <w:basedOn w:val="Normalny"/>
    <w:uiPriority w:val="99"/>
    <w:semiHidden/>
    <w:unhideWhenUsed/>
    <w:rsid w:val="009E7B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F8869-2910-4E7B-9864-2417AAD6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Górniak Natalia (ANW)</cp:lastModifiedBy>
  <cp:revision>16</cp:revision>
  <cp:lastPrinted>2021-03-19T10:53:00Z</cp:lastPrinted>
  <dcterms:created xsi:type="dcterms:W3CDTF">2021-03-17T08:14:00Z</dcterms:created>
  <dcterms:modified xsi:type="dcterms:W3CDTF">2025-03-20T07:30:00Z</dcterms:modified>
</cp:coreProperties>
</file>